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AGGVG (Bayern) — Grundstücksgleiche Rechte</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grundbuchmäßige Behandlung des Bergwerkseigentums gelten die sich auf Grundstücke beziehenden Vorschriften entsprechend. Das Staatsministerium wird ermächtigt, durch Rechtsverordnung die näheren Vorschriften über die Einrichtung und Führung des Berggrundbuchs zu erlassen.</w:t>
      </w:r>
    </w:p>
    <w:p>
      <w:r>
        <w:t xml:space="preserve">(2) Realgewerbeberechtigungen sowie Nutzungsrechte, für die nach Landesgesetz die sich auf Grundstücke beziehenden Vorschriften gelten, erhalten ein Grundbuchblatt nur auf Antrag oder wenn das Recht veräußert oder belastet werden soll.</w:t>
      </w:r>
    </w:p>
    <w:p>
      <w:r>
        <w:t xml:space="preserve">(3) Bei Nutzungsrechten an einem Grundstück wird die Anlegung des besonderen Grundbuchblatts auf dem Blatt des Grundstücks vermerkt.</w:t>
      </w:r>
    </w:p>
    <w:p>
      <w:r>
        <w:t xml:space="preserve">(4) Die für das Erbbaurecht geltenden Vorschriften der §§ 20 und 22 Abs. 2 der Grundbuchordnung finden auf Bergwerkseigentum sowie auf die in Absatz 2 bezeichneten Rechte entsprechende Anwendung.</w:t>
      </w:r>
    </w:p>
    <w:p>
      <w:r>
        <w:rPr>
          <w:color w:val="555555"/>
          <w:sz w:val="17"/>
        </w:rPr>
        <w:t xml:space="preserve">Zitiervorschlag: Art 40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