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AGGVG (Bayern) — Zahl und Art der Spruchkörper bei den Landgerichten und den Oberlandesgerichten</w:t>
      </w:r>
    </w:p>
    <w:p>
      <w:r>
        <w:rPr>
          <w:color w:val="555555"/>
          <w:sz w:val="18"/>
        </w:rPr>
        <w:t xml:space="preserve">Gerichtsverfassungsausführungsgesetz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Bestimmung der Zahl und Art der Kammern bei den Landgerichten sowie der Senate bei den Oberlandesgerichten sind zuständig:</w:t>
      </w:r>
    </w:p>
    <w:p>
      <w:r>
        <w:t xml:space="preserve">1. das Staatsministerium für die Bestimmung der Zahl der Kammern für Handelssachen sowie der auswärtigen Kammern und Senate, deren Zahl durch Rechtsverordnung festgesetzt wird,</w:t>
      </w:r>
    </w:p>
    <w:p>
      <w:r>
        <w:t xml:space="preserve">2. die jeweiligen Gerichtspräsidenten in allen übrigen Fällen.</w:t>
      </w:r>
    </w:p>
    <w:p>
      <w:r>
        <w:rPr>
          <w:color w:val="555555"/>
          <w:sz w:val="17"/>
        </w:rPr>
        <w:t xml:space="preserve">Zitiervorschlag: Art 4 AGGVG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https://recht.nulegal.eu/gesetze/AGGVG/4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