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AGGVG (Bayern) — Ermittlung der Erben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Nachlaßgericht hat die Erben von Amts wegen zu ermitteln. Die Ermittlung der Erben von Amts wegen unterbleibt, wenn zum Nachlaß kein Grundstück oder grundstücksgleiches Recht gehört und nach den Umständen des Falls anzunehmen ist, daß ein die Beerdigungskosten übersteigender Nachlaß nicht vorhanden ist.</w:t>
      </w:r>
    </w:p>
    <w:p>
      <w:r>
        <w:t xml:space="preserve">(2) Das Nachlaßgericht soll die nach Absatz 1 ermittelten Erben von dem Erbfall und dem sie betreffenden Ermittlungsergebnis benachrichtigen, wenn dies ohne wesentliche Schwierigkeiten möglich und nicht anzunehmen ist, daß sie auf andere Weise Kenntnis erlangt haben.</w:t>
      </w:r>
    </w:p>
    <w:p>
      <w:r>
        <w:t xml:space="preserve">(3) Gehört ein Grundstück oder ein grundstücksgleiches Recht zum Nachlaß, so hat das Nachlaßgericht unbeschadet des § 83 der Grundbuchordnung bei den Erben auf die Berichtigung des Grundbuchs hinzuwirken und einen von ihnen gestellten Antrag auf Grundbuchberichtigung an das Grundbuchamt weiterzuleiten.</w:t>
      </w:r>
    </w:p>
    <w:p>
      <w:r>
        <w:rPr>
          <w:color w:val="555555"/>
          <w:sz w:val="17"/>
        </w:rPr>
        <w:t xml:space="preserve">Zitiervorschlag: Art 37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