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30 AGGVG (Bayern) — Leibgedingsrechte und nicht eingetragene Rechte</w:t>
      </w:r>
    </w:p>
    <w:p>
      <w:r>
        <w:rPr>
          <w:color w:val="555555"/>
          <w:sz w:val="18"/>
        </w:rPr>
        <w:t xml:space="preserve">Gerichtsverfassungsausführungsgesetz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Ist eine Dienstbarkeit oder eine Reallast als Leibgeding (Leibzucht, Altenteil, Auszug) eingetragen, so bleibt das Recht, unbeschadet der Vorschrift des § 9 Abs. 2 des Einführungsgesetzes zu dem Gesetz über die Zwangsversteigerung und die Zwangsverwaltung, von der Zwangsversteigerung unberührt, auch wenn es bei der Feststellung des geringsten Gebots nicht berücksichtigt ist.</w:t>
      </w:r>
    </w:p>
    <w:p>
      <w:r>
        <w:t xml:space="preserve">(2) Das gleiche gilt für Grunddienstbarkeiten, die zur Erhaltung der Wirksamkeit gegenüber dem öffentlichen Glauben des Grundbuchs der Eintragung nicht bedürfen.</w:t>
      </w:r>
    </w:p>
    <w:p>
      <w:r>
        <w:rPr>
          <w:color w:val="555555"/>
          <w:sz w:val="17"/>
        </w:rPr>
        <w:t xml:space="preserve">Zitiervorschlag: Art 30 AGGVG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https://recht.nulegal.eu/gesetze/AGGVG/30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