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27 AGGVG (Bayern) — Aufgebotsverfahren bei Namenspapieren mit Inhaberklausel sowie bei Hypotheken-, Grundschuld- und Rentenschuldbriefen</w:t>
      </w:r>
    </w:p>
    <w:p>
      <w:r>
        <w:rPr>
          <w:color w:val="555555"/>
          <w:sz w:val="18"/>
        </w:rPr>
        <w:t xml:space="preserve">Gerichtsverfassungsausführungsgesetz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dem Aufgebotsverfahren zum Zweck der Kraftloserklärung einer Urkunde der in § 808 des Bürgerlichen Gesetzbuchs bezeichneten Art, für welche Zins- oder Rentenscheine nicht ausgegeben sind, sowie eines Hypotheken-, Grundschuld- oder Rentenschuldbriefs werden das Aufgebot und die Zahlungssperre durch Anheftung an die Gerichtstafel und durch einmalige Veröffentlichung in dem für die Bekanntmachungen des Gerichts bestimmten Blatt öffentlich bekanntgemacht. Das Gericht kann die Bekanntmachung in weiteren Blättern anordnen. Die Aufgebotsfrist muß mindestens drei Monate betragen. Sie beginnt mit der Veröffentlichung in dem für die Bekanntmachungen des Gerichts bestimmten Blatt. Die in § 478 Abs. 2 und 3 und in § 482 Abs. 1 des Gesetzes über das Verfahren in Familiensachen und in den Angelegenheiten der freiwilligen Gerichtsbarkeit (FamFG) vorgeschriebenen Bekanntmachungen erfolgen in dem für die Bekanntmachungen des Gerichts bestimmten Blatt.</w:t>
      </w:r>
    </w:p>
    <w:p>
      <w:r>
        <w:t xml:space="preserve">(2) Auf Versicherungspolicen sowie auf Grundschuld- und Rentenschuldbriefe, die auf den Inhaber ausgestellt sind, finden diese Vorschriften keine Anwendung.</w:t>
      </w:r>
    </w:p>
    <w:p>
      <w:r>
        <w:rPr>
          <w:color w:val="555555"/>
          <w:sz w:val="17"/>
        </w:rPr>
        <w:t xml:space="preserve">Zitiervorschlag: Art 27 AGGVG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https://recht.nulegal.eu/gesetze/AGGVG/27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