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AGGVG (Bayern) — Insolvenzfähigkeit juristischer Personen des öffentlichen Rechts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Insolvenzverfahren über das Vermögen juristischer Personen des öffentlichen Rechts, die der Aufsicht des Freistaates Bayern unterstehen, findet nicht statt.</w:t>
      </w:r>
    </w:p>
    <w:p>
      <w:r>
        <w:t xml:space="preserve">(2) Absatz 1 gilt nicht für die Bayerische Landesbank, die Bayerische Landesbausparkasse und die Sparkassen.</w:t>
      </w:r>
    </w:p>
    <w:p>
      <w:r>
        <w:rPr>
          <w:color w:val="555555"/>
          <w:sz w:val="17"/>
        </w:rPr>
        <w:t xml:space="preserve">Zitiervorschlag: Art 25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