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AGGVG (Bayern) — Voraussetzungen für die Anerkennung als Gütestelle im Sinn von § 794 Abs. 1 Nr. 1 der Zivilprozessordnung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Gütestelle im Sinn von § 794 Abs. 1 Nr. 1 der Zivilprozessordnung können vom Präsidenten des Obersten Landesgerichts Personen oder Vereinigungen anerkannt werden,</w:t>
      </w:r>
    </w:p>
    <w:p>
      <w:r>
        <w:t xml:space="preserve">1. die die Gewähr für eine von den Parteien unabhängige und objektive Schlichtung bieten,</w:t>
      </w:r>
    </w:p>
    <w:p>
      <w:r>
        <w:t xml:space="preserve">2. die Schlichtung als dauerhafte Aufgabe betreiben,</w:t>
      </w:r>
    </w:p>
    <w:p>
      <w:r>
        <w:t xml:space="preserve">3. die nach einer Verfahrensordnung vorgehen, die in ihren wesentlichen Teilen dem Verfahrensgang nach dem Bayerischen Schlichtungsgesetz entspricht.</w:t>
      </w:r>
    </w:p>
    <w:p>
      <w:r>
        <w:rPr>
          <w:color w:val="555555"/>
          <w:sz w:val="17"/>
        </w:rPr>
        <w:t xml:space="preserve">Zitiervorschlag: Art 22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