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AGGVG (Bayern) — Urkundsbeamte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Staatsministerium bestimmt durch Rechtsverordnung, wer bei den ordentlichen Gerichten und den Staatsanwaltschaften</w:t>
      </w:r>
    </w:p>
    <w:p>
      <w:r>
        <w:t xml:space="preserve">1. nach § 153 Abs. 1 bis 3 GVG als Urkundsbeamter verwendet werden kann und welche Aufgaben ihm zugewiesen werden können,</w:t>
      </w:r>
    </w:p>
    <w:p>
      <w:r>
        <w:t xml:space="preserve">2. nach § 153 Abs. 5 GVG beim Vorliegen eines dienstlichen Bedürfnisses in besonderen Fällen mit Aufgaben eines Urkundsbeamten betraut werden kann, wer für diese Bestellung zuständig ist und welche Aufgaben im einzelnen zugewiesen werden können.</w:t>
      </w:r>
    </w:p>
    <w:p>
      <w:r>
        <w:t xml:space="preserve">(2) Im Bereich der Arbeitsgerichtsbarkeit erläßt das Staatsministerium für Familie, Arbeit und Soziales im Einvernehmen mit dem Staatsministerium durch Rechtsverordnung die nach Absatz 1 vorgesehenen Bestimmungen.</w:t>
      </w:r>
    </w:p>
    <w:p>
      <w:r>
        <w:rPr>
          <w:color w:val="555555"/>
          <w:sz w:val="17"/>
        </w:rPr>
        <w:t xml:space="preserve">Zitiervorschlag: Art 15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