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AGGVG (Bayern) — Handelsrichter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Handelsrichter werden von den Präsidenten der Landgerichte ernannt. Sie erhalten eine Ernennungsurkunde.</w:t>
      </w:r>
    </w:p>
    <w:p>
      <w:r>
        <w:t xml:space="preserve">(2) Die Präsidenten der Landgerichte entscheiden auch über die Entbindung von dem Amt eines Handelsrichters nach § 113 Abs. 4 des Gerichtsverfassungsgesetzes (GVG). Sie sind ferner zuständig für die Einleitung des Verfahrens zur Amtsenthebung eines Handelsrichters nach § 113 Abs. 3 GVG.</w:t>
      </w:r>
    </w:p>
    <w:p>
      <w:r>
        <w:rPr>
          <w:color w:val="555555"/>
          <w:sz w:val="17"/>
        </w:rPr>
        <w:t xml:space="preserve">Zitiervorschlag: Art 1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