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AGG — Benachteiligungsverbot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Beschäftigte dürfen nicht wegen eines in § 1 genannten Grundes benachteiligt werden; dies gilt auch, wenn die Person, die die Benachteiligung begeht, das Vorliegen eines in § 1 genannten Grundes bei der Benachteiligung nur annimmt.</w:t>
      </w:r>
    </w:p>
    <w:p>
      <w:r>
        <w:t xml:space="preserve">(2) Bestimmungen in Vereinbarungen, die gegen das Benachteiligungsverbot des Absatzes 1 verstoßen, sind unwirksam.</w:t>
      </w:r>
    </w:p>
    <w:p>
      <w:r>
        <w:t xml:space="preserve">(3) Eine Benachteiligung nach Absatz 1 durch Arbeitgeber oder Beschäftigte ist eine Verletzung vertraglicher Pflichten.</w:t>
      </w:r>
    </w:p>
    <w:p>
      <w:r>
        <w:rPr>
          <w:color w:val="555555"/>
          <w:sz w:val="17"/>
        </w:rPr>
        <w:t xml:space="preserve">Zitiervorschlag: § 7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