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5 AGG — Positive Maßnahmen</w:t>
      </w:r>
    </w:p>
    <w:p>
      <w:r>
        <w:rPr>
          <w:color w:val="555555"/>
          <w:sz w:val="18"/>
        </w:rPr>
        <w:t xml:space="preserve">Allgemeines Gleichbehandlungsgesetz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Ungeachtet der in den §§ 8 bis 10 sowie in § 20 benannten Gründe ist eine unterschiedliche Behandlung auch zulässig, wenn durch geeignete und angemessene Maßnahmen bestehende Nachteile wegen eines in § 1 genannten Grundes verhindert oder ausgeglichen werden sollen.</w:t>
      </w:r>
    </w:p>
    <w:p>
      <w:r>
        <w:rPr>
          <w:color w:val="555555"/>
          <w:sz w:val="17"/>
        </w:rPr>
        <w:t xml:space="preserve">Zitiervorschlag: § 5 AGG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https://recht.nulegal.eu/gesetze/AGG/5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