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AGG — Unabdingbarkeit</w:t>
      </w:r>
    </w:p>
    <w:p>
      <w:r>
        <w:rPr>
          <w:color w:val="555555"/>
          <w:sz w:val="18"/>
        </w:rPr>
        <w:t xml:space="preserve">Allgemeines Gleichbehandlungsgesetz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den Vorschriften dieses Gesetzes kann nicht zu Ungunsten der geschützten Personen abgewichen werden.</w:t>
      </w:r>
    </w:p>
    <w:p>
      <w:r>
        <w:rPr>
          <w:color w:val="555555"/>
          <w:sz w:val="17"/>
        </w:rPr>
        <w:t xml:space="preserve">Zitiervorschlag: § 31 AGG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