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26h AGG — Verwendung der Geschenke an die Unabhängige Bundesbeauftragte oder den Unabhängigen Bundesbeauftragten für Antidiskriminierung</w:t>
      </w:r>
    </w:p>
    <w:p>
      <w:r>
        <w:rPr>
          <w:color w:val="555555"/>
          <w:sz w:val="18"/>
        </w:rPr>
        <w:t xml:space="preserve">Allgemeines Gleichbehandlungsgesetz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(1) Erhält die oder der Unabhängige Bundesbeauftragte für Antidiskriminierung ein Geschenk in Bezug auf das Amt, so muss sie oder er dies der Präsidentin oder dem Präsidenten des Deutschen Bundestages mitteilen.</w:t>
      </w:r>
    </w:p>
    <w:p>
      <w:r>
        <w:t xml:space="preserve">(2) Die Präsidentin oder der Präsident des Deutschen Bundestages entscheidet über die Verwendung des Geschenks. Sie oder er kann Verfahrensvorschriften erlassen.</w:t>
      </w:r>
    </w:p>
    <w:p>
      <w:r>
        <w:rPr>
          <w:color w:val="555555"/>
          <w:sz w:val="17"/>
        </w:rPr>
        <w:t xml:space="preserve">Zitiervorschlag: § 26h AGG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https://recht.nulegal.eu/gesetze/AGG/26h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