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AGG — Amtszeit der oder des Unabhängigen Bundesbeauftragten für Antidiskriminierung</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Die Amtszeit der oder des Unabhängigen Bundesbeauftragten für Antidiskriminierung beträgt fünf Jahre.</w:t>
      </w:r>
    </w:p>
    <w:p>
      <w:r>
        <w:t xml:space="preserve">(2) Eine einmalige Wiederwahl ist zulässig.</w:t>
      </w:r>
    </w:p>
    <w:p>
      <w:r>
        <w:t xml:space="preserve">(3) Kommt vor Ende des Amtsverhältnisses eine Neuwahl nicht zustande, so führt die oder der bisherige Unabhängige Bundesbeauftragte für Antidiskriminierung auf Ersuchen der Bundespräsidentin oder des Bundespräsidenten die Geschäfte bis zur Neuwahl fort.</w:t>
      </w:r>
    </w:p>
    <w:p>
      <w:r>
        <w:rPr>
          <w:color w:val="555555"/>
          <w:sz w:val="17"/>
        </w:rPr>
        <w:t xml:space="preserve">Zitiervorschlag: § 26b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