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26a AGG — Rechtsstellung der oder des Unabhängigen Bundesbeauftragten für Antidiskriminierung</w:t>
      </w:r>
    </w:p>
    <w:p>
      <w:r>
        <w:rPr>
          <w:color w:val="555555"/>
          <w:sz w:val="18"/>
        </w:rPr>
        <w:t xml:space="preserve">Allgemeines Gleichbehandlungsgesetz</w:t>
      </w:r>
    </w:p>
    <w:p>
      <w:r>
        <w:rPr>
          <w:color w:val="555555"/>
          <w:sz w:val="18"/>
        </w:rPr>
        <w:t xml:space="preserve">Stand: 28.05.2022 (konsolidierte Textfassung, kein amtliches Inkrafttretensdatum)</w:t>
      </w:r>
    </w:p>
    <w:p>
      <w:r>
        <w:t xml:space="preserve">(1) Die oder der Unabhängige Bundesbeauftragte für Antidiskriminierung steht nach Maßgabe dieses Gesetzes in einem öffentlich-rechtlichen Amtsverhältnis zum Bund. Sie oder er ist bei der Ausübung ihres oder seines Amtes unabhängig und nur dem Gesetz unterworfen.</w:t>
      </w:r>
    </w:p>
    <w:p>
      <w:r>
        <w:t xml:space="preserve">(2) Die oder der Unabhängige Bundesbeauftragte für Antidiskriminierung untersteht der Rechtsaufsicht der Bundesregierung.</w:t>
      </w:r>
    </w:p>
    <w:p>
      <w:r>
        <w:rPr>
          <w:color w:val="555555"/>
          <w:sz w:val="17"/>
        </w:rPr>
        <w:t xml:space="preserve">Zitiervorschlag: § 26a AGG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https://recht.nulegal.eu/gesetze/AGG/26a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