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AGG — Ansprüche</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Der Benachteiligte kann bei einem Verstoß gegen das Benachteiligungsverbot unbeschadet weiterer Ansprüche die Beseitigung der Beeinträchtigung verlangen. Sind weitere Beeinträchtigungen zu besorgen, so kann er auf Unterlassung klagen.</w:t>
      </w:r>
    </w:p>
    <w:p>
      <w:r>
        <w:t xml:space="preserve">(2) Bei einer Verletzung des Benachteiligungsverbots ist der Benachteiligende verpflichtet, den hierdurch entstandenen Schaden zu ersetzen. Dies gilt nicht, wenn der Benachteiligende die Pflichtverletzung nicht zu vertreten hat. Wegen eines Schadens, der nicht Vermögensschaden ist, kann der Benachteiligte eine angemessene Entschädigung in Geld verlangen.</w:t>
      </w:r>
    </w:p>
    <w:p>
      <w:r>
        <w:t xml:space="preserve">(3) Ansprüche aus unerlaubter Handlung bleiben unberührt.</w:t>
      </w:r>
    </w:p>
    <w:p>
      <w:r>
        <w:t xml:space="preserve">(4) Auf eine Vereinbarung, die von dem Benachteiligungsverbot abweicht, kann sich der Benachteiligende nicht berufen.</w:t>
      </w:r>
    </w:p>
    <w:p>
      <w:r>
        <w:t xml:space="preserve">(5) Ein Anspruch nach den Absätzen 1 und 2 muss innerhalb einer Frist von zwei Monaten geltend gemacht werden. Nach Ablauf der Frist kann der Anspruch nur geltend gemacht werden, wenn der Benachteiligte ohne Verschulden an der Einhaltung der Frist verhindert war.</w:t>
      </w:r>
    </w:p>
    <w:p>
      <w:r>
        <w:rPr>
          <w:color w:val="555555"/>
          <w:sz w:val="17"/>
        </w:rPr>
        <w:t xml:space="preserve">Zitiervorschlag: § 21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