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AGG — Anwendungsbereich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Benachteiligungen aus einem in § 1 genannten Grund sind nach Maßgabe dieses Gesetzes unzulässig in Bezug auf:</w:t>
      </w:r>
    </w:p>
    <w:p>
      <w:pPr>
        <w:ind w:left="420"/>
      </w:pPr>
      <w:r>
        <w:t xml:space="preserve">1. die Bedingungen, einschließlich Auswahlkriterien und Einstellungsbedingungen, für den Zugang zu unselbstständiger und selbstständiger Erwerbstätigkeit, unabhängig von Tätigkeitsfeld und beruflicher Position, sowie für den beruflichen Aufstieg,</w:t>
      </w:r>
    </w:p>
    <w:p>
      <w:pPr>
        <w:ind w:left="420"/>
      </w:pPr>
      <w:r>
        <w:t xml:space="preserve">2. die Beschäftigungs- und Arbeitsbedingungen einschließlich Arbeitsentgelt und Entlassungsbedingungen, insbesondere in individual- und kollektivrechtlichen Vereinbarungen und Maßnahmen bei der Durchführung und Beendigung eines Beschäftigungsverhältnisses sowie beim beruflichen Aufstieg,</w:t>
      </w:r>
    </w:p>
    <w:p>
      <w:pPr>
        <w:ind w:left="420"/>
      </w:pPr>
      <w:r>
        <w:t xml:space="preserve">3. den Zugang zu allen Formen und allen Ebenen der Berufsberatung, der Berufsbildung einschließlich der Berufsausbildung, der beruflichen Weiterbildung und der Umschulung sowie der praktischen Berufserfahrung,</w:t>
      </w:r>
    </w:p>
    <w:p>
      <w:pPr>
        <w:ind w:left="420"/>
      </w:pPr>
      <w:r>
        <w:t xml:space="preserve">4. die Mitgliedschaft und Mitwirkung in einer Beschäftigten- oder Arbeitgebervereinigung oder einer Vereinigung, deren Mitglieder einer bestimmten Berufsgruppe angehören, einschließlich der Inanspruchnahme der Leistungen solcher Vereinigungen,</w:t>
      </w:r>
    </w:p>
    <w:p>
      <w:pPr>
        <w:ind w:left="420"/>
      </w:pPr>
      <w:r>
        <w:t xml:space="preserve">5. den Sozialschutz, einschließlich der sozialen Sicherheit und der Gesundheitsdienste,</w:t>
      </w:r>
    </w:p>
    <w:p>
      <w:pPr>
        <w:ind w:left="420"/>
      </w:pPr>
      <w:r>
        <w:t xml:space="preserve">6. die sozialen Vergünstigungen,</w:t>
      </w:r>
    </w:p>
    <w:p>
      <w:pPr>
        <w:ind w:left="420"/>
      </w:pPr>
      <w:r>
        <w:t xml:space="preserve">7. die Bildung,</w:t>
      </w:r>
    </w:p>
    <w:p>
      <w:pPr>
        <w:ind w:left="420"/>
      </w:pPr>
      <w:r>
        <w:t xml:space="preserve">8. den Zugang zu und die Versorgung mit Gütern und Dienstleistungen, die der Öffentlichkeit zur Verfügung stehen, einschließlich von Wohnraum.</w:t>
      </w:r>
    </w:p>
    <w:p>
      <w:r>
        <w:t xml:space="preserve">(2) Für Leistungen nach dem Sozialgesetzbuch gelten § 33c des Ersten Buches Sozialgesetzbuch und § 19a des Vierten Buches Sozialgesetzbuch. Für die betriebliche Altersvorsorge gilt das Betriebsrentengesetz.</w:t>
      </w:r>
    </w:p>
    <w:p>
      <w:r>
        <w:t xml:space="preserve">(3) Die Geltung sonstiger Benachteiligungsverbote oder Gebote der Gleichbehandlung wird durch dieses Gesetz nicht berührt. Dies gilt auch für öffentlich-rechtliche Vorschriften, die dem Schutz bestimmter Personengruppen dienen.</w:t>
      </w:r>
    </w:p>
    <w:p>
      <w:r>
        <w:t xml:space="preserve">(4) Für Kündigungen gelten ausschließlich die Bestimmungen zum allgemeinen und besonderen Kündigungsschutz.</w:t>
      </w:r>
    </w:p>
    <w:p>
      <w:r>
        <w:rPr>
          <w:color w:val="555555"/>
          <w:sz w:val="17"/>
        </w:rPr>
        <w:t xml:space="preserve">Zitiervorschlag: § 2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https://recht.nulegal.eu/gesetze/AGG/2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