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AGG — Soziale Verantwortung der Beteiligten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Tarifvertragsparteien, Arbeitgeber, Beschäftigte und deren Vertretungen sind aufgefordert, im Rahmen ihrer Aufgaben und Handlungsmöglichkeiten an der Verwirklichung des in § 1 genannten Ziels mitzuwirken.</w:t>
      </w:r>
    </w:p>
    <w:p>
      <w:r>
        <w:t xml:space="preserve">(2) In Betrieben, in denen die Voraussetzungen des § 1 Abs. 1 Satz 1 des Betriebsverfassungsgesetzes vorliegen, können bei einem groben Verstoß des Arbeitgebers gegen Vorschriften aus diesem Abschnitt der Betriebsrat oder eine im Betrieb vertretene Gewerkschaft unter der Voraussetzung des § 23 Abs. 3 Satz 1 des Betriebsverfassungsgesetzes die dort genannten Rechte gerichtlich geltend machen; § 23 Abs. 3 Satz 2 bis 5 des Betriebsverfassungsgesetzes gilt entsprechend. Mit dem Antrag dürfen nicht Ansprüche des Benachteiligten geltend gemacht werden.</w:t>
      </w:r>
    </w:p>
    <w:p>
      <w:r>
        <w:rPr>
          <w:color w:val="555555"/>
          <w:sz w:val="17"/>
        </w:rPr>
        <w:t xml:space="preserve">Zitiervorschlag: § 17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