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AGFlurbG (Bayern) — Flurbereinigungsplan (Zu § 59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Flurbereinigungsplan wird entweder ganz oder in seinen jeweils fertiggestellten Bestandteilen bekanntgegeben. Nach jeder Bekanntgabe ist ein Anhörungstermin abzuhalten.</w:t>
      </w:r>
    </w:p>
    <w:p>
      <w:r>
        <w:t xml:space="preserve">(2) Widersprüche gegen den Flurbereinigungsplan oder seine Bestandteile können nur innerhalb von zwei Wochen nach dem Terminstag beim Amt für Ländliche Entwicklung schriftlich vorgebracht werden.</w:t>
      </w:r>
    </w:p>
    <w:p>
      <w:r>
        <w:rPr>
          <w:color w:val="555555"/>
          <w:sz w:val="17"/>
        </w:rPr>
        <w:t xml:space="preserve">Zitiervorschlag: Art 9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