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18 AGFlurbG (Bayern) — Verordnungsermächtigung</w:t>
      </w:r>
    </w:p>
    <w:p>
      <w:r>
        <w:rPr>
          <w:color w:val="555555"/>
          <w:sz w:val="18"/>
        </w:rPr>
        <w:t xml:space="preserve">Gesetz zur Ausführung des Flurbereinigungsgesetzes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Das Staatsministerium erläßt die zur Durchführung des Flurbereinigungsgesetzes und dieses Gesetzes erforderlichen Rechtsvorschriften im Benehmen mit den beteiligten Staatsministerien.</w:t>
      </w:r>
    </w:p>
    <w:p>
      <w:r>
        <w:rPr>
          <w:color w:val="555555"/>
          <w:sz w:val="17"/>
        </w:rPr>
        <w:t xml:space="preserve">Zitiervorschlag: Art 18 AGFlurbG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https://recht.nulegal.eu/gesetze/AGFlurbG/18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