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AGFlurbG (Bayern) — Ordnungswidrigkeiten</w:t>
      </w:r>
    </w:p>
    <w:p>
      <w:r>
        <w:rPr>
          <w:color w:val="555555"/>
          <w:sz w:val="18"/>
        </w:rPr>
        <w:t xml:space="preserve">Gesetz zur Ausführung des Flurbereinigungsgesetzes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kann belegt werden, wenn die Tat nicht nach anderen Vorschriften mit Strafe bedroht ist, wer unbefugt</w:t>
      </w:r>
    </w:p>
    <w:p>
      <w:r>
        <w:t xml:space="preserve">1. ein Vermessungszeichen, das zur Vorbereitung oder Durchführung eines Verfahrens nach dem Flurbereinigungsgesetz gesetzt wurde, von seinem Platz entfernt, beschädigt oder zerstört oder</w:t>
      </w:r>
    </w:p>
    <w:p>
      <w:r>
        <w:t xml:space="preserve">2. eine von der Teilnehmergemeinschaft hergestellte gemeinschaftliche Anlage beschädigt oder zerstört.</w:t>
      </w:r>
    </w:p>
    <w:p>
      <w:r>
        <w:rPr>
          <w:color w:val="555555"/>
          <w:sz w:val="17"/>
        </w:rPr>
        <w:t xml:space="preserve">Zitiervorschlag: Art 17 AGFlurbG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https://recht.nulegal.eu/gesetze/AGFlurbG/17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