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AGFlurbG (Bayern) — Erörterungen, Verhandlungen, Aufklärungen und Anhörungen</w:t>
      </w:r>
    </w:p>
    <w:p>
      <w:r>
        <w:rPr>
          <w:color w:val="555555"/>
          <w:sz w:val="18"/>
        </w:rPr>
        <w:t xml:space="preserve">Gesetz zur Ausführung des Flurbereinigungsgesetzes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im Flurbereinigungsgesetz vorgeschriebenen Erörterungen, insbesondere Verhandlungen, Aufklärungen und Anhörungen mit Verfahrensbeteiligten, den Trägern öffentlicher Belange oder der Öffentlichkeit sowie Sitzungen des Vorstands einer Teilnehmergemeinschaft, in der Beschlüsse gefasst werden können, gilt Art. 27c des Bayerischen Verwaltungsverfahrensgesetzes (BayVwVfG).</w:t>
      </w:r>
    </w:p>
    <w:p>
      <w:r>
        <w:rPr>
          <w:color w:val="555555"/>
          <w:sz w:val="17"/>
        </w:rPr>
        <w:t xml:space="preserve">Zitiervorschlag: Art 13 AGFlurbG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https://recht.nulegal.eu/gesetze/AGFlurbG/13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