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AGFGO (Bayern) — Inkrafttreten</w:t>
      </w:r>
    </w:p>
    <w:p>
      <w:r>
        <w:rPr>
          <w:color w:val="555555"/>
          <w:sz w:val="18"/>
        </w:rPr>
        <w:t xml:space="preserve">Gesetz zur Ausführung der Finanzgerichtsordnung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Dieses Gesetz tritt am 1. Januar 1966 in Kraft.</w:t>
      </w:r>
    </w:p>
    <w:p>
      <w:r>
        <w:t xml:space="preserve">(2) (gegenstandslos)</w:t>
      </w:r>
    </w:p>
    <w:p>
      <w:r>
        <w:t xml:space="preserve">[Amtl. Anm.:] Betrifft die ursprüngliche Fassung vom 23. Dezember 1965 (GVBl. S. 357).</w:t>
      </w:r>
    </w:p>
    <w:p>
      <w:r>
        <w:rPr>
          <w:color w:val="555555"/>
          <w:sz w:val="17"/>
        </w:rPr>
        <w:t xml:space="preserve">Zitiervorschlag: Art 9 AGFGO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https://recht.nulegal.eu/gesetze/AGFGO/9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