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AGFGO (Bayern) — Zulagen</w:t>
      </w:r>
    </w:p>
    <w:p>
      <w:r>
        <w:rPr>
          <w:color w:val="555555"/>
          <w:sz w:val="18"/>
        </w:rPr>
        <w:t xml:space="preserve">Gesetz zur Ausführung der Finanzgerichtsordnung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Präsidenten der Finanzgerichte können nach Maßgabe des Art. 56 Abs. 2 des Bayerischen Besoldungsgesetzes besondere Zulagen nach gerichtsinterner Ausschreibung im Benehmen mit dem Präsidium und dem Richterrat jeweils für die Dauer eines Geschäftsjahres gewähren.</w:t>
      </w:r>
    </w:p>
    <w:p>
      <w:r>
        <w:rPr>
          <w:color w:val="555555"/>
          <w:sz w:val="17"/>
        </w:rPr>
        <w:t xml:space="preserve">Zitiervorschlag: Art 6 AGFGO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https://recht.nulegal.eu/gesetze/AGFGO/6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