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AGFGO (Bayern) — Finanzrechtsweg (Zu § 33 FGO)</w:t>
      </w:r>
    </w:p>
    <w:p>
      <w:r>
        <w:rPr>
          <w:color w:val="555555"/>
          <w:sz w:val="18"/>
        </w:rPr>
        <w:t xml:space="preserve">Gesetz zur Ausführung der Finanzgerichtsordnung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Finanzrechtsweg ist auch gegeben in öffentlich-rechtlichen Streitigkeiten</w:t>
      </w:r>
    </w:p>
    <w:p>
      <w:r>
        <w:t xml:space="preserve">1. über Abgabenangelegenheiten, soweit diese Abgaben der Gesetzgebung des Bundes nicht unterliegen und durch Landesfinanzbehörden (§ 2 des Finanzverwaltungsgesetzes) nach den Vorschriften der Abgabenordnung verwaltet werden,</w:t>
      </w:r>
    </w:p>
    <w:p>
      <w:r>
        <w:t xml:space="preserve">2. über landesrechtlich geregelte Kosten (Gebühren und Auslagen), soweit der Finanzrechtsweg für die Hauptsache eröffnet ist,</w:t>
      </w:r>
    </w:p>
    <w:p>
      <w:r>
        <w:t xml:space="preserve">3. über Angelegenheiten der Kirchenumlagen und des Kirchgelds.</w:t>
      </w:r>
    </w:p>
    <w:p>
      <w:r>
        <w:t xml:space="preserve">Die Vorschriften der Finanzgerichtsordnung über die Revision (Zweiter Teil Abschnitt V Unterabschnitt 1) sind anzuwenden (§ 118 Abs. 1 Satz 2 der Finanzgerichtsordnung).</w:t>
      </w:r>
    </w:p>
    <w:p>
      <w:r>
        <w:t xml:space="preserve">[Amtl. Anm.:] BGBl. FN 350-1</w:t>
      </w:r>
    </w:p>
    <w:p>
      <w:r>
        <w:t xml:space="preserve">[Amtl. Anm.:] BGBl. FN 600-1</w:t>
      </w:r>
    </w:p>
    <w:p>
      <w:r>
        <w:t xml:space="preserve">[Amtl. Anm.:] BGBl. FN 610-1-3</w:t>
      </w:r>
    </w:p>
    <w:p>
      <w:r>
        <w:rPr>
          <w:color w:val="555555"/>
          <w:sz w:val="17"/>
        </w:rPr>
        <w:t xml:space="preserve">Zitiervorschlag: Art 5 AGFGO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https://recht.nulegal.eu/gesetze/AGFGO/5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