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AGFGO (Bayern) — Finanzgerichte (Zu §§ 2, 3 FGO)</w:t>
      </w:r>
    </w:p>
    <w:p>
      <w:r>
        <w:rPr>
          <w:color w:val="555555"/>
          <w:sz w:val="18"/>
        </w:rPr>
        <w:t xml:space="preserve">Gesetz zur Ausführung der Finanzgerichtsordnung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Finanzgerichte haben ihren Sitz in München und Nürnberg. Außensenate des Finanzgerichts München werden in Augsburg errichtet.</w:t>
      </w:r>
    </w:p>
    <w:p>
      <w:r>
        <w:t xml:space="preserve">(2) Zuständig sind das Finanzgericht München für die Regierungsbezirke Oberbayern, Niederbayern und Schwaben, das Finanzgericht Nürnberg für die Regierungsbezirke Oberpfalz, Oberfranken, Mittelfranken und Unterfranken. In Zoll-, Verbrauchsteuer- und Monopolangelegenheiten ist das Finanzgericht München ausschließlich zuständig.</w:t>
      </w:r>
    </w:p>
    <w:p>
      <w:r>
        <w:t xml:space="preserve">[Amtl. Anm.:] BGBl. FN 350-1</w:t>
      </w:r>
    </w:p>
    <w:p>
      <w:r>
        <w:rPr>
          <w:color w:val="555555"/>
          <w:sz w:val="17"/>
        </w:rPr>
        <w:t xml:space="preserve">Zitiervorschlag: Art 1 AGFGO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https://recht.nulegal.eu/gesetze/AGFGO/1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