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AGBVormVG (Brandenburg) — Anerkennung auswärtiger Prüfungen</w:t>
      </w:r>
    </w:p>
    <w:p>
      <w:r>
        <w:rPr>
          <w:color w:val="555555"/>
          <w:sz w:val="18"/>
        </w:rPr>
        <w:t xml:space="preserve">Gesetz zur Ausführung des Berufsvormündervergütungsgesetzes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Einer Prüfung nach § 2 stehen mit Erfolg abgelegte Prüfungen in anderen Ländern gleich, soweit diese aufgrund landesrechtlicher Ausführungsbestimmungen zu § 2 des Berufsvormündervergütungsgesetzes abgenommen wurden und aus den Zeugnissen hervorgeht, welchen besonderen Kenntnissen im Sinne des § 1 Abs. 1 Satz 2 des Berufsvormündervergütungsgesetzes die durch die Prüfung nachgewiesenen Kenntnisse gleichstehen.</w:t>
      </w:r>
    </w:p>
    <w:p>
      <w:r>
        <w:rPr>
          <w:color w:val="555555"/>
          <w:sz w:val="17"/>
        </w:rPr>
        <w:t xml:space="preserve">Zitiervorschlag: § 3 AGBVormVG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https://recht.nulegal.eu/gesetze/AGBVormVG/3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