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46 AGBGB (Bayern) — Erhöhung einer Kommunmauer</w:t>
      </w:r>
    </w:p>
    <w:p>
      <w:r>
        <w:rPr>
          <w:color w:val="555555"/>
          <w:sz w:val="18"/>
        </w:rPr>
        <w:t xml:space="preserve">Gesetz zur Ausführung des Bürgerlichen Gesetzbuchs</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zwei Grundstücke durch eine Mauer geschieden, zu deren Benutzung die Eigentümer der Grundstücke gemeinschaftlich berechtigt sind, so kann der Eigentümer des einen Grundstücks dem Eigentümer des anderen Grundstücks nicht verbieten, die Mauer ihrer ganzen Dicke nach zu erhöhen, wenn ihm nachgewiesen wird, daß durch die Erhöhung die Mauer nicht gefährdet wird.</w:t>
      </w:r>
    </w:p>
    <w:p>
      <w:r>
        <w:t xml:space="preserve">(2) Der Eigentümer des Grundstücks, von dem aus die Erhöhung erfolgt ist, kann dem Eigentümer des anderen Grundstücks die Benutzung des Aufbaus verbieten, bis ihm für die Hälfte oder, wenn nur ein Teil des Aufbaus benutzt werden soll, für den entsprechenden Teil der Baukosten Ersatz geleistet wird. Ist der Bauwert geringer als der Betrag der Baukosten, so bestimmt sich der zu ersetzende Betrag nach dem Bauwert. Die Ersatzleistung kann auch durch Hinterlegung oder durch Aufrechnung erfolgen. Solange die Befugnis nach Satz 1 besteht, hat der Berechtigte den Mehraufwand zu tragen, den die Unterhaltung der Mauer infolge der Erhöhung verursacht.</w:t>
      </w:r>
    </w:p>
    <w:p>
      <w:r>
        <w:t xml:space="preserve">(3) Wird die Mauer zum Zweck der Erhöhung verstärkt, so ist die Verstärkung auf dem Grundstück anzubringen, dessen Eigentümer die Erhöhung unternimmt. Der nach Absatz 2 von dem Eigentümer des anderen Grundstücks zu ersetzende Betrag erhöht sich um den entsprechenden Teil des Werts der zu der Verstärkung verwendeten Grundfläche. Verlangt der Eigentümer des Grundstücks, auf dem die Verstärkung angebracht worden ist, die Ersatzleistung, so ist er verpflichtet, dem Eigentümer des anderen Grundstücks das Eigentum an der zu der Mauer verwendeten Grundfläche seines Grundstücks soweit zu übertragen, daß die neue Grenzlinie durch die Mitte der verstärkten Mauer geht; die Vorschriften über den Kauf sind anzuwenden.</w:t>
      </w:r>
    </w:p>
    <w:p>
      <w:r>
        <w:t xml:space="preserve">(4) Die Befugnis nach Absatz 2 Satz 1 erlischt durch Verzicht des Berechtigten. Der Verzicht ist gegenüber dem Eigentümer des Nachbargrundstücks zu erklären. Ist das Grundstück des Berechtigten mit dem Recht eines Dritten belastet, so gilt § 876 des Bürgerlichen Gesetzbuchs entsprechend. Im Fall der Belastung mit einer Reallast, einer Hypothek, einer Grundschuld oder einer Rentenschuld ist der Verzicht dem Dritten gegenüber wirksam, wenn er erklärt wurde, bevor das Grundstück zugunsten des Dritten in Beschlag genommen worden ist.</w:t>
      </w:r>
    </w:p>
    <w:p>
      <w:r>
        <w:rPr>
          <w:color w:val="555555"/>
          <w:sz w:val="17"/>
        </w:rPr>
        <w:t xml:space="preserve">Zitiervorschlag: Art 46 AGBGB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https://recht.nulegal.eu/gesetze/AGBGB/46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46 AGBGB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