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AGBBiG (Bayern) — Aufgaben der Staatsministerien</w:t>
      </w:r>
    </w:p>
    <w:p>
      <w:r>
        <w:rPr>
          <w:color w:val="555555"/>
          <w:sz w:val="18"/>
        </w:rPr>
        <w:t xml:space="preserve">Gesetz zur Ausführung des Berufsbildungsgesetzes und des Berufsqualifikationsfeststellungsgesetzes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Dem für die Berufsausbildung gemäß Art. 1 Abs. 1 zuständigen Staatsministerium obliegt</w:t>
      </w:r>
    </w:p>
    <w:p>
      <w:r>
        <w:t xml:space="preserve">a) die Genehmigung der Prüfungsordnungen (§ 47 Abs. 1, § 56 Abs. 1 und § 62 Abs. 3 BBiG; § 38 Abs. 1, § 42h Abs. 1 und § 42n Abs. 3 Handwerksordnung);</w:t>
      </w:r>
    </w:p>
    <w:p>
      <w:r>
        <w:t xml:space="preserve">b) die Genehmigung der Regelungen für das Verfahren zur Feststellung und Bescheinigung der individuell erworbenen beruflichen Handlungsfähigkeit (§ 50c Abs. 4 BBiG und § 41c Abs. 4 der Handwerksordnung);</w:t>
      </w:r>
    </w:p>
    <w:p>
      <w:r>
        <w:t xml:space="preserve">c) die Genehmigung der festzusetzenden Entschädigungen (§ 40 Abs. 6, § 56 Abs. 1, § 62 Abs. 3, § 76 Abs. 1, § 77 Abs. 3 und § 80 BBiG; § 34 Abs. 9, § 41a Abs. 1, § 42h Abs. 1, § 42n Abs. 3, § 43 Abs. 3 und § 44b der Handwerksordnung);</w:t>
      </w:r>
    </w:p>
    <w:p>
      <w:r>
        <w:t xml:space="preserve">d) die Berufung der Mitglieder und stellvertretenden Mitglieder der Berufsbildungsausschüsse und der Unterausschüsse (§ 77 Abs. 2 und 5, § 80 BBiG);</w:t>
      </w:r>
    </w:p>
    <w:p>
      <w:r>
        <w:t xml:space="preserve">e) die Berufung der Lehrer an berufsbildenden Schulen als Mitglieder und stellvertretende Mitglieder der Berufsbildungsausschüsse und der Unterausschüsse im Handwerk (§ 43 Abs. 2 und 5 und § 44b der Handwerksordnung);</w:t>
      </w:r>
    </w:p>
    <w:p>
      <w:r>
        <w:t xml:space="preserve">f) die Bestätigung der Fortbildungsprüfungsregelungen nach § 54 Abs. 3 BBiG sowie § 42f Abs. 3 der Handwerksordnung;</w:t>
      </w:r>
    </w:p>
    <w:p>
      <w:r>
        <w:t xml:space="preserve">g) die Genehmigung der Vereinbarung zwischen zuständigen Stellen nach § 71 Abs. 9 BBiG, auch bei zuständigen Stellen nach § 75b BBiG.</w:t>
      </w:r>
    </w:p>
    <w:p>
      <w:r>
        <w:t xml:space="preserve">(2) In den Fällen des Abs. 1 Buchst. a, b und c ist mit Ausnahme der festzusetzenden Entschädigungen nach § 43 Abs. 3 und § 44b der Handwerksordnung das Benehmen des Staatsministeriums für Familie, Arbeit und Soziales, im Fall des Abs. 1 Buchst. e des Staatsministeriums für Unterricht und Kultus herzustellen.</w:t>
      </w:r>
    </w:p>
    <w:p>
      <w:r>
        <w:t xml:space="preserve">(3) Die Zuständigkeit nach Abs. 1 Buchst. d und e kann durch Rechtsverordnung auf eine nachgeordnete Behörde übertragen werden.</w:t>
      </w:r>
    </w:p>
    <w:p>
      <w:r>
        <w:rPr>
          <w:color w:val="555555"/>
          <w:sz w:val="17"/>
        </w:rPr>
        <w:t xml:space="preserve">Zitiervorschlag: Art 2 AGBBiG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https://recht.nulegal.eu/gesetze/AGBBiG/2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