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AGAufenthG (Bayern) — Verordnungsermächtigung</w:t>
      </w:r>
    </w:p>
    <w:p>
      <w:r>
        <w:rPr>
          <w:color w:val="555555"/>
          <w:sz w:val="18"/>
        </w:rPr>
        <w:t xml:space="preserve">Ausführungsgesetz-Aufenthaltsgesetz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des Innern, für Sport und Integration (Staatsministerium) wird ermächtigt, durch Rechtsverordnung</w:t>
      </w:r>
    </w:p>
    <w:p>
      <w:r>
        <w:t xml:space="preserve">1. die Ausländerbehörden zum Vollzug ausländerrechtlicher Vorschriften zu bestimmen und</w:t>
      </w:r>
    </w:p>
    <w:p>
      <w:r>
        <w:t xml:space="preserve">2. ihre örtliche Zuständigkeit zu regeln.</w:t>
      </w:r>
    </w:p>
    <w:p>
      <w:r>
        <w:rPr>
          <w:color w:val="555555"/>
          <w:sz w:val="17"/>
        </w:rPr>
        <w:t xml:space="preserve">Zitiervorschlag: Art 1 AGAufenthG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https://recht.nulegal.eu/gesetze/AGAufenthG/1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