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AFuV 2005</w:t>
      </w:r>
    </w:p>
    <w:p>
      <w:r>
        <w:rPr>
          <w:color w:val="555555"/>
          <w:sz w:val="18"/>
        </w:rPr>
        <w:t xml:space="preserve">Amateurfunkverordnung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Abs. 2 Satz 2, des § 4 Abs. 1 Satz 1 und der §§ 6 und 8 Satz 2 des Amateurfunkgesetzes vom 23. Juni 1997 (BGBl. I S. 1494), die durch Artikel 229 der Verordnung vom 25. November 2003 (BGBl. I S. 2304) geändert worden sind, in Verbindung mit dem 2. Abschnitt des Verwaltungskostengesetzes vom 23. Juni 1970 (BGBl. I S. 821) verordnet das Bundesministerium für Wirtschaft und Arbeit im Einvernehmen mit dem Bundesministerium der Finanzen:</w:t>
      </w:r>
    </w:p>
    <w:p>
      <w:r>
        <w:rPr>
          <w:color w:val="555555"/>
          <w:sz w:val="17"/>
        </w:rPr>
        <w:t xml:space="preserve">Zitiervorschlag: Eingangsformel AFuV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https://recht.nulegal.eu/gesetze/AFuV%202005/eingangsformel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