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AFuV 2005 — Anerkennung und Ausstellung von Amateurfunk-Prüfungsbescheinigungen und Amateurfunk-Genehmigungen</w:t>
      </w:r>
    </w:p>
    <w:p>
      <w:r>
        <w:rPr>
          <w:color w:val="555555"/>
          <w:sz w:val="18"/>
        </w:rPr>
        <w:t xml:space="preserve">Amateurfunkverordnung</w:t>
      </w:r>
    </w:p>
    <w:p>
      <w:r>
        <w:rPr>
          <w:color w:val="555555"/>
          <w:sz w:val="18"/>
        </w:rPr>
        <w:t xml:space="preserve">Stand: 24.06.2024 (konsolidierte Textfassung, kein amtliches Inkrafttretensdatum)</w:t>
      </w:r>
    </w:p>
    <w:p>
      <w:r>
        <w:t xml:space="preserve">(1) Die Bundesnetzagentur kann Amateurfunk-Prüfungsbescheinigungen und Amateurfunk-Genehmigungen anderer Staaten unter Berücksichtigung der harmonisierten Regelungen der Europäischen Konferenz der Verwaltungen für Post und Telekommunikation (Conférence Européenne des Administrations des Postes et des Télécommunications, CEPT) anerkennen. Mit der Anerkennung legt die Bundesnetzagentur die Bedingungen fest, unter denen Amateurfunk-Prüfungsbescheinigungen und Amateurfunk-Genehmigungen deutschen Amateurfunkzeugnissen und Zulassungen zur Teilnahme am Amateurfunkdienst gleichgestellt werden. Die Bundesnetzagentur veröffentlicht die Einzelheiten in ihrem Amtsblatt.</w:t>
      </w:r>
    </w:p>
    <w:p>
      <w:r>
        <w:t xml:space="preserve">(2) Die Bundesnetzagentur kann andere als die in Absatz 1 genannten Amateurfunk-Prüfungsbescheinigungen oder Amateurfunk-Genehmigungen anerkennen, wenn die ihnen zu Grunde liegenden Prüfungsinhalte und Prüfungsanforderungen der fachlichen Prüfung für Funkamateure denen eines Amateurfunkzeugnisses nach § 7 gleichwertig sind.</w:t>
      </w:r>
    </w:p>
    <w:p>
      <w:r>
        <w:rPr>
          <w:color w:val="555555"/>
          <w:sz w:val="17"/>
        </w:rPr>
        <w:t xml:space="preserve">Zitiervorschlag: § 8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