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AFuV 2005 — Störungen und Maßnahmen bei Störungen</w:t>
      </w:r>
    </w:p>
    <w:p>
      <w:r>
        <w:rPr>
          <w:color w:val="555555"/>
          <w:sz w:val="18"/>
        </w:rPr>
        <w:t xml:space="preserve">Amateurfunkverordnung</w:t>
      </w:r>
    </w:p>
    <w:p>
      <w:r>
        <w:rPr>
          <w:color w:val="555555"/>
          <w:sz w:val="18"/>
        </w:rPr>
        <w:t xml:space="preserve">Stand: 24.06.2024 (konsolidierte Textfassung, kein amtliches Inkrafttretensdatum)</w:t>
      </w:r>
    </w:p>
    <w:p>
      <w:r>
        <w:t xml:space="preserve">(1) Die Bundesnetzagentur kann zur Ermittlung und zur Untersuchung von Störungsursachen oder zur Klärung frequenztechnischer Fragen den Betreiber einer Amateurfunkstelle zur Mitwirkung verpflichten. Hierbei kann sie insbesondere verlangen, dass der Funkamateur Angaben über den Betrieb der Amateurfunkstelle schriftlich oder elektronisch festhält und vorlegt und dass der Funkamateur bei der Störungsuntersuchung Testaussendungen durchführt, die eine messtechnische Auswertung der Störszenarien ermöglichen.</w:t>
      </w:r>
    </w:p>
    <w:p>
      <w:r>
        <w:t xml:space="preserve">(2) Bis zum Abschluss von Ermittlungen und Untersuchungen im Sinne von Absatz 1 kann die Bundesnetzagentur gegenüber dem Betreiber einer Amateurfunkstelle die Sperrung bestimmter Frequenzbereiche, die Absenkung der Senderleistung oder weitere geeignete Maßnahmen anordnen.</w:t>
      </w:r>
    </w:p>
    <w:p>
      <w:r>
        <w:t xml:space="preserve">(3) Die Bestimmungen des Elektromagnetische-Verträglichkeit-Gesetzes vom 14. Dezember 2016 (BGBl. I S. 2879), das zuletzt durch Artikel 51 des Gesetzes vom 23. Juni 2021 (BGBl. I S. 1858) geändert worden ist, und des Funkanlagengesetzes vom 27. Juni 2017 (BGBl. I S. 1947), das durch Artikel 52 des Gesetzes vom 23. Juni 2021 (BGBl. I S. 1858) geändert worden ist, bleiben unberührt.</w:t>
      </w:r>
    </w:p>
    <w:p>
      <w:r>
        <w:rPr>
          <w:color w:val="555555"/>
          <w:sz w:val="17"/>
        </w:rPr>
        <w:t xml:space="preserve">Zitiervorschlag: § 17 AFuV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https://recht.nulegal.eu/gesetze/AFuV%202005/17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