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AFuV 2005 — Technische und betriebliche Rahmenbedingungen für Amateurfunkstellen</w:t>
      </w:r>
    </w:p>
    <w:p>
      <w:r>
        <w:rPr>
          <w:color w:val="555555"/>
          <w:sz w:val="18"/>
        </w:rPr>
        <w:t xml:space="preserve">Amateurfunkverordnung</w:t>
      </w:r>
    </w:p>
    <w:p>
      <w:r>
        <w:rPr>
          <w:color w:val="555555"/>
          <w:sz w:val="18"/>
        </w:rPr>
        <w:t xml:space="preserve">Stand: 24.06.2024 (konsolidierte Textfassung, kein amtliches Inkrafttretensdatum)</w:t>
      </w:r>
    </w:p>
    <w:p>
      <w:r>
        <w:t xml:space="preserve">(1) Die Amateurfunkstelle ist nach den allgemein anerkannten Regeln der Technik einzurichten und zu unterhalten.</w:t>
      </w:r>
    </w:p>
    <w:p>
      <w:r>
        <w:t xml:space="preserve">(2) Für die Nutzung der Frequenzbereiche des Amateurfunkdienstes gelten die in Anlage 1 zu dieser Verordnung festgelegten technischen und betrieblichen Rahmenbedingungen. Die Bundesnetzagentur kann auf Antrag für besondere experimentelle und technisch-wissenschaftliche Studien mit einer Amateurfunkstelle Ausnahmen befristet gestatten. Dies kann unter zusätzlichen Auflagen erfolgen und von der Zuteilung eines weiteren Rufzeichens abhängig gemacht werden.</w:t>
      </w:r>
    </w:p>
    <w:p>
      <w:r>
        <w:t xml:space="preserve">(3) Eine Amateurfunkstelle darf mit Telekommunikationsnetzen verbunden werden. Dabei sind die telekommunikationsrechtlichen Bestimmungen zu beachten. Die Bereitstellung von Verbindungen zu Telekommunikationsnetzen über eine fernbediente Amateurfunkstelle nach § 13 ist nur dem Inhaber des Rufzeichens für diese Amateurfunkstelle gestattet.</w:t>
      </w:r>
    </w:p>
    <w:p>
      <w:r>
        <w:t xml:space="preserve">(4) Unerwünschte Amateurfunk-Aussendungen sind auf das geringstmögliche Maß zu beschränken. Erforderliche Richtwerte für Funkanlagen nach § 2 Absatz 1 Nummer 1 des Funkanlagengesetzes vom 27. Juni 2017 (BGBl. I S. 1947), das durch Artikel 52 des Gesetzes vom 23. Juni 2021 (BGBl. I S. 1858) geändert worden ist, werden nach Anhörung der betroffenen Kreise im Amtsblatt der Bundesnetzagentur veröffentlicht.</w:t>
      </w:r>
    </w:p>
    <w:p>
      <w:r>
        <w:t xml:space="preserve">(5) Auf Anforderung der Bundesnetzagentur hat der Funkamateur technische Unterlagen über seine Sendeanlage sowie eine Skizze über die örtliche Anordnung der ortsfesten Antennenanlage vorzulegen.</w:t>
      </w:r>
    </w:p>
    <w:p>
      <w:r>
        <w:t xml:space="preserve">(6) Bei Abgleicharbeiten und Messungen an Sendern von Amateurfunkstellen sind geeignete Maßnahmen zu treffen, die ein freies Abstrahlen von Signalen wirkungsvoll verhindern.</w:t>
      </w:r>
    </w:p>
    <w:p>
      <w:r>
        <w:t xml:space="preserve">(7) Der Amateurfunkverkehr ist in offener Sprache abzuwickeln. Der internationale Amateurschlüssel und die international gebräuchlichen Betriebsabkürzungen gelten als offene Sprache.</w:t>
      </w:r>
    </w:p>
    <w:p>
      <w:r>
        <w:t xml:space="preserve">(8) Übertragungsverfahren müssen mit allgemein verfügbarer Technik oder mit entsprechenden Kenntnissen und Fertigkeiten eine Wiederherstellung übertragener Inhalte zulassen. Der Amateurfunkverkehr darf nicht zur Verschleierung des Inhalts kodiert oder verschlüsselt werden; ausgenommen sind Steuersignale für Erd- und Weltraumfunkstellen des Amateurfunkdienstes über Satelliten, ferner Steuersignale (einschließlich Remote-Betrieb) oder von anderen fernbedienten oder automatisch arbeitenden Stationen.</w:t>
      </w:r>
    </w:p>
    <w:p>
      <w:r>
        <w:t xml:space="preserve">(9) Das Aussenden von irreführenden Signalen, von Dauerträgern und von rundfunkähnlichen Darbietungen sowie der Gebrauch internationaler Not-, Dringlichkeits- und Sicherheitszeichen des mobilen Seefunkdienstes und des mobilen Flugfunkdienstes ist nicht zulässig.</w:t>
      </w:r>
    </w:p>
    <w:p>
      <w:r>
        <w:t xml:space="preserve">(10) Der Funkamateur hat geeignete Maßnahmen zu treffen, um eine missbräuchliche Benutzung seiner Amateurfunkstelle auszuschließen.</w:t>
      </w:r>
    </w:p>
    <w:p>
      <w:r>
        <w:rPr>
          <w:color w:val="555555"/>
          <w:sz w:val="17"/>
        </w:rPr>
        <w:t xml:space="preserve">Zitiervorschlag: § 16 AFuV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https://recht.nulegal.eu/gesetze/AFuV%202005/16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