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AFuG 1997 — Bußgeldvorschriften</w:t>
      </w:r>
    </w:p>
    <w:p>
      <w:r>
        <w:rPr>
          <w:color w:val="555555"/>
          <w:sz w:val="18"/>
        </w:rPr>
        <w:t xml:space="preserve">Amateurfunkgesetz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</w:t>
      </w:r>
    </w:p>
    <w:p>
      <w:pPr>
        <w:ind w:left="780"/>
      </w:pPr>
      <w:r>
        <w:t xml:space="preserve">a) § 3 Abs. 3 oder</w:t>
      </w:r>
    </w:p>
    <w:p>
      <w:pPr>
        <w:ind w:left="780"/>
      </w:pPr>
      <w:r>
        <w:t xml:space="preserve">b) § 5 Abs. 4 Nr. 2</w:t>
      </w:r>
    </w:p>
    <w:p>
      <w:pPr>
        <w:ind w:left="420"/>
      </w:pPr>
      <w:r>
        <w:t xml:space="preserve">eine Amateurfunkstelle betreibt oder</w:t>
      </w:r>
    </w:p>
    <w:p>
      <w:pPr>
        <w:ind w:left="420"/>
      </w:pPr>
      <w:r>
        <w:t xml:space="preserve">2. entgegen § 5 Abs. 5 Satz 2 eine Nachricht übermittelt.</w:t>
      </w:r>
    </w:p>
    <w:p>
      <w:r>
        <w:t xml:space="preserve">(2) Die Ordnungswidrigkeit kann in den Fällen des Absatzes 1 Nr. 1 Buchstabe b mit einer Geldbuße bis zu zehntausend Euro, in den übrigen Fällen mit einer Geldbuße bis zu fünftausend Euro geahndet werden.</w:t>
      </w:r>
    </w:p>
    <w:p>
      <w:r>
        <w:t xml:space="preserve">(3) Verwaltungsbehörde im Sinne des § 36 Abs. 1 Nr. 1 des Gesetzes über Ordnungswidrigkeiten ist die Bundesnetzagentur für Elektrizität, Gas, Telekommunikation, Post und Eisenbahnen.</w:t>
      </w:r>
    </w:p>
    <w:p>
      <w:r>
        <w:rPr>
          <w:color w:val="555555"/>
          <w:sz w:val="17"/>
        </w:rPr>
        <w:t xml:space="preserve">Zitiervorschlag: § 9 AFuG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https://recht.nulegal.eu/gesetze/AFuG%201997/9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