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AFuG 1997 — Schutzanforderungen</w:t>
      </w:r>
    </w:p>
    <w:p>
      <w:r>
        <w:rPr>
          <w:color w:val="555555"/>
          <w:sz w:val="18"/>
        </w:rPr>
        <w:t xml:space="preserve">Amateurfunkgesetz</w:t>
      </w:r>
    </w:p>
    <w:p>
      <w:r>
        <w:rPr>
          <w:color w:val="555555"/>
          <w:sz w:val="18"/>
        </w:rPr>
        <w:t xml:space="preserve">Stand: 10.06.2019 (konsolidierte Textfassung, kein amtliches Inkrafttretensdatum)</w:t>
      </w:r>
    </w:p>
    <w:p>
      <w:r>
        <w:t xml:space="preserve">(1) Beim Betrieb einer Amateurfunkstelle sind abweichend von den sonstigen Vorschriften des Gesetzes über die elektromagnetische Verträglichkeit von Betriebsmitteln vom 26. Februar 2008 (BGBl. I S. 220) nur die grundlegenden Anforderungen zur Gewährleistung der elektromagnetischen Verträglichkeit nach § 4 Abs. 1 Nr. 1 jenes Gesetzes einzuhalten. Die in der Verordnung nach § 6 Satz 1 Nr. 4 festgelegten Anforderungen sind zu beachten.</w:t>
      </w:r>
    </w:p>
    <w:p>
      <w:r>
        <w:t xml:space="preserve">(2) Von den grundlegenden Anforderungen nach § 4 Abs. 1 Nr. 2 des Gesetzes über die elektromagnetische Verträglichkeit von Betriebsmitteln darf der Funkamateur abweichen und kann den Grad der Störfestigkeit seiner Amateurfunkstelle selbst bestimmen. Erfüllt die Amateurfunkstelle nicht die grundlegenden Anforderungen nach § 4 Abs. 1 Nr. 2 des Gesetzes über die elektromagnetische Verträglichkeit von Betriebsmitteln, muss der Funkamateur elektromagnetische Störungen seiner Amateurfunkstelle durch andere Betriebsmittel hinnehmen, wenn diese die grundlegenden Anforderungen nach § 4 des Gesetzes über die elektromagnetische Verträglichkeit von Betriebsmitteln erfüllen.</w:t>
      </w:r>
    </w:p>
    <w:p>
      <w:r>
        <w:t xml:space="preserve">(3) Der Funkamateur hat der Bundesnetzagentur für Elektrizität, Gas, Telekommunikation, Post und Eisenbahnen vor Betriebsaufnahme die Berechnungsunterlagen und die ergänzenden Messprotokolle für die ungünstigste Antennenkonfiguration seiner Amateurfunkstelle vorzulegen. Die Bundesnetzagentur für Elektrizität, Gas, Telekommunikation, Post und Eisenbahnen stellt auf Antrag eine Standortbescheinigung aus. § 12 des Gesetzes über Funkanlagen und Telekommunikationsendeinrichtungen findet insoweit Anwendung.</w:t>
      </w:r>
    </w:p>
    <w:p>
      <w:r>
        <w:rPr>
          <w:color w:val="555555"/>
          <w:sz w:val="17"/>
        </w:rPr>
        <w:t xml:space="preserve">Zitiervorschlag: § 7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