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AFuG 1997 — Fachliche Prüfung, Anerkennung von Amateurfunkzeugnissen fremder Verwaltungen</w:t>
      </w:r>
    </w:p>
    <w:p>
      <w:r>
        <w:rPr>
          <w:color w:val="555555"/>
          <w:sz w:val="18"/>
        </w:rPr>
        <w:t xml:space="preserve">Amateurfunkgesetz</w:t>
      </w:r>
    </w:p>
    <w:p>
      <w:r>
        <w:rPr>
          <w:color w:val="555555"/>
          <w:sz w:val="18"/>
        </w:rPr>
        <w:t xml:space="preserve">Stand: 10.06.2019 (konsolidierte Textfassung, kein amtliches Inkrafttretensdatum)</w:t>
      </w:r>
    </w:p>
    <w:p>
      <w:r>
        <w:t xml:space="preserve">(1) Das Bundesministerium für Verkehr und digitale Infrastruktur wird ermächtigt, durch Rechtsverordnung die Durchführung und die inhaltlichen Anforderungen der fachlichen Prüfung für Funkamateure, den Ausbildungsfunkbetrieb, die Einteilung der verschiedenen Arten von Amateurfunkzeugnissen und die Anerkennung ausländischer Amateurfunk-Prüfungsbescheinigungen, wenn sie einem deutschen Amateurfunkzeugnis gleichwertig sind, zu regeln. Mit Bestehen der fachlichen Prüfung werden die Kenntnisse, Fähigkeiten und Fertigkeiten zu einer selbständigen und verantwortlichen Teilnahme am Amateurfunkdienst nachgewiesen.</w:t>
      </w:r>
    </w:p>
    <w:p>
      <w:r>
        <w:t xml:space="preserve">(2) Jede natürliche Person mit Wohnsitz in Deutschland ist auf Antrag zur fachlichen Prüfung für Funkamateure zuzulassen. Über die bestandene fachliche Prüfung nach Absatz 1 wird ein Amateurfunkzeugnis (§ 2 Nr. 1) erteilt.</w:t>
      </w:r>
    </w:p>
    <w:p>
      <w:r>
        <w:t xml:space="preserve">(3) Ausländische Funkamateure, die die Bedingungen der Verfügung 8/1995 des Bundesministeriums für Post und Telekommunikation vom 11. Januar 1995 (Amtsblatt S. 18) erfüllen und keinen ständigen Wohnsitz in Deutschland haben, dürfen bis zu drei Monaten eine Amateurfunkstelle in Deutschland betreiben.</w:t>
      </w:r>
    </w:p>
    <w:p>
      <w:r>
        <w:rPr>
          <w:color w:val="555555"/>
          <w:sz w:val="17"/>
        </w:rPr>
        <w:t xml:space="preserve">Zitiervorschlag: § 4 AFuG 1997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https://recht.nulegal.eu/gesetze/AFuG%201997/4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