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AFuG 1997 — Voraussetzungen zur Teilnahme am Amateurfunkdienst, Rufzeichen, Frequenzzuteilung</w:t>
      </w:r>
    </w:p>
    <w:p>
      <w:r>
        <w:rPr>
          <w:color w:val="555555"/>
          <w:sz w:val="18"/>
        </w:rPr>
        <w:t xml:space="preserve">Amateurfunkgesetz</w:t>
      </w:r>
    </w:p>
    <w:p>
      <w:r>
        <w:rPr>
          <w:color w:val="555555"/>
          <w:sz w:val="18"/>
        </w:rPr>
        <w:t xml:space="preserve">Stand: 01.12.2021 (konsolidierte Textfassung, kein amtliches Inkrafttretensdatum)</w:t>
      </w:r>
    </w:p>
    <w:p>
      <w:r>
        <w:t xml:space="preserve">(1) Die Bundesnetzagentur für Elektrizität, Gas, Telekommunikation, Post und Eisenbahnen (§ 10) läßt eine natürliche Person unter gleichzeitiger Zuteilung eines personengebundenen Rufzeichens auf Antrag zur Teilnahme am Amateurfunkdienst zu, wenn sie eine fachliche Prüfung für Funkamateure erfolgreich abgelegt oder eine Amateurfunk-Prüfungsbescheinigung nach § 2 Nr. 1 vorgelegt hat.</w:t>
      </w:r>
    </w:p>
    <w:p>
      <w:r>
        <w:t xml:space="preserve">(2) Die Bundesnetzagentur für Elektrizität, Gas, Telekommunikation, Post und Eisenbahnen teilt dem Funkamateur auf Antrag weitere Rufzeichen zu. Das Bundesministerium für Verkehr und digitale Infrastruktur wird ermächtigt, durch Rechtsverordnung das Verfahren der Zuteilung und Einzelheiten der Anwendung und Mitbenutzung von Rufzeichen zu regeln.</w:t>
      </w:r>
    </w:p>
    <w:p>
      <w:r>
        <w:t xml:space="preserve">(3) Eine Amateurfunkstelle darf erst nach der Zulassung zur Teilnahme am Amateurfunkdienst und der Zuteilung</w:t>
      </w:r>
    </w:p>
    <w:p>
      <w:pPr>
        <w:ind w:left="420"/>
      </w:pPr>
      <w:r>
        <w:t xml:space="preserve">1. eines personengebundenen Rufzeichens,</w:t>
      </w:r>
    </w:p>
    <w:p>
      <w:pPr>
        <w:ind w:left="420"/>
      </w:pPr>
      <w:r>
        <w:t xml:space="preserve">2. eines Rufzeichens für den Ausbildungsfunkbetrieb oder</w:t>
      </w:r>
    </w:p>
    <w:p>
      <w:pPr>
        <w:ind w:left="420"/>
      </w:pPr>
      <w:r>
        <w:t xml:space="preserve">3. eines Rufzeichens für fernbediente und automatisch arbeitende Amateurfunkstellen oder</w:t>
      </w:r>
    </w:p>
    <w:p>
      <w:pPr>
        <w:ind w:left="420"/>
      </w:pPr>
      <w:r>
        <w:t xml:space="preserve">4. eines Rufzeichens für Klubstationen</w:t>
      </w:r>
    </w:p>
    <w:p>
      <w:r>
        <w:t xml:space="preserve">durch den Funkamateur betrieben werden.</w:t>
      </w:r>
    </w:p>
    <w:p>
      <w:r>
        <w:t xml:space="preserve">(4) Die Bundesnetzagentur für Elektrizität, Gas, Telekommunikation, Post und Eisenbahnen kann unter Beibehaltung der Zulassung zur Teilnahme am Amateurfunkdienst zugeteilte Rufzeichen aus wichtigen Gründen, insbesondere bei Änderungen durch internationale Vorgaben ändern. Sie kann unbeschadet des § 49 Abs. 2 des Verwaltungsverfahrensgesetzes die Zulassung zur Teilnahme am Amateurfunkdienst unter gleichzeitiger Entziehung der zugeteilten Rufzeichen widerrufen, wenn der Funkamateur fortgesetzt gegen dieses Gesetz oder gegen auf Grund dieses Gesetzes erlassene Rechtsverordnungen verstößt.</w:t>
      </w:r>
    </w:p>
    <w:p>
      <w:r>
        <w:t xml:space="preserve">(5) Die im Frequenzplan (§ 90 des Telekommunikationsgesetzes) für den Amateurfunkdienst ausgewiesenen Frequenzen gelten einem Funkamateur mit Wohnsitz in Deutschland als zugeteilt, wenn ihm ein oder mehrere Rufzeichen zugeteilt worden sind.</w:t>
      </w:r>
    </w:p>
    <w:p>
      <w:r>
        <w:rPr>
          <w:color w:val="555555"/>
          <w:sz w:val="17"/>
        </w:rPr>
        <w:t xml:space="preserve">Zitiervorschlag: § 3 AFuG 1997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https://recht.nulegal.eu/gesetze/AFuG%201997/3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