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AFuG 1997 — Begriffsbestimmungen</w:t>
      </w:r>
    </w:p>
    <w:p>
      <w:r>
        <w:rPr>
          <w:color w:val="555555"/>
          <w:sz w:val="18"/>
        </w:rPr>
        <w:t xml:space="preserve">Amateurfunkgesetz</w:t>
      </w:r>
    </w:p>
    <w:p>
      <w:r>
        <w:rPr>
          <w:color w:val="555555"/>
          <w:sz w:val="18"/>
        </w:rPr>
        <w:t xml:space="preserve">Stand: 01.12.2021 (konsolidierte Textfassung, kein amtliches Inkrafttretensdatum)</w:t>
      </w:r>
    </w:p>
    <w:p>
      <w:r>
        <w:t xml:space="preserve">Im Sinne dieses Gesetzes ist</w:t>
      </w:r>
    </w:p>
    <w:p>
      <w:pPr>
        <w:ind w:left="420"/>
      </w:pPr>
      <w:r>
        <w:t xml:space="preserve">1. Funkamateur der Inhaber eines Amateurfunkzeugnisses oder einer harmonisierten Amateurfunk-Prüfungsbescheinigung auf Grund der Verfügung 9/1995 des Bundesministeriums für Post und Telekommunikation vom 11. Januar 1995 (Amtsblatt S. 21), der sich mit dem Amateurfunkdienst aus persönlicher Neigung und nicht aus gewerblich-wirtschaftlichem Interesse befaßt,</w:t>
      </w:r>
    </w:p>
    <w:p>
      <w:pPr>
        <w:ind w:left="420"/>
      </w:pPr>
      <w:r>
        <w:t xml:space="preserve">2. Amateurfunkdienst ein Funkdienst, der von Funkamateuren untereinander, zu experimentellen und technisch-wissenschaftlichen Studien, zur eigenen Weiterbildung, zur Völkerverständigung und zur Unterstützung von Hilfsaktionen in Not- und Katastrophenfällen wahrgenommen wird; der Amateurfunkdienst schließt die Benutzung von Weltraumfunkstellen ein. Der Amateurfunkdienst und der Amateurfunkdienst über Satelliten sind keine Sicherheitsfunkdienste,</w:t>
      </w:r>
    </w:p>
    <w:p>
      <w:pPr>
        <w:ind w:left="420"/>
      </w:pPr>
      <w:r>
        <w:t xml:space="preserve">3. eine Amateurfunkstelle eine Funkstelle, die aus einer oder mehreren Sendefunkanlagen und Empfangsfunkanlagen einschließlich der Antennenanlagen und der zu ihrem Betrieb erforderlichen Zusatzeinrichtungen besteht und die auf mindestens einer der im Frequenzplan für den Amateurfunkdienst ausgewiesenen Frequenzen betrieben werden kann.</w:t>
      </w:r>
    </w:p>
    <w:p>
      <w:r>
        <w:rPr>
          <w:color w:val="555555"/>
          <w:sz w:val="17"/>
        </w:rPr>
        <w:t xml:space="preserve">Zitiervorschlag: § 2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