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AFoG (Nordrhein-Westfalen) — Jahresrechnung</w:t>
      </w:r>
    </w:p>
    <w:p>
      <w:r>
        <w:rPr>
          <w:color w:val="555555"/>
          <w:sz w:val="18"/>
        </w:rPr>
        <w:t xml:space="preserve">Abrechnungsfondsgesetz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Finanzministerium stellt am Schluss eines jeden Haushaltsjahres eine Jahresrechnung für das Sondervermögen auf. Diese wird als Anhang der Haushaltsrechnung des Landes beigefügt.</w:t>
      </w:r>
    </w:p>
    <w:p>
      <w:r>
        <w:t xml:space="preserve">(2) In der Jahresrechnung sind der Bestand des Sondervermögens einschließlich der Forderungen sowie die Einnahmen und Ausgaben nachzuweisen.</w:t>
      </w:r>
    </w:p>
    <w:p>
      <w:r>
        <w:t xml:space="preserve">(3) Der Landesrechnungshof prüft gemäß § 113 Satz 2 Landeshaushaltsordnung die Haushalts- und Wirtschaftsführung des Sondervermögens.</w:t>
      </w:r>
    </w:p>
    <w:p>
      <w:r>
        <w:rPr>
          <w:color w:val="555555"/>
          <w:sz w:val="17"/>
        </w:rPr>
        <w:t xml:space="preserve">Zitiervorschlag: § 8 AFoG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https://recht.nulegal.eu/gesetze/AFoG/8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