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AFoG (Nordrhein-Westfalen) — Verwendung der Mittel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Mittel des Sondervermögens dürfen ausschließlich zu dem in § 2 Absatz 2 genannten Zweck verwendet werden.</w:t>
      </w:r>
    </w:p>
    <w:p>
      <w:r>
        <w:t xml:space="preserve">(2) Bis zur Höhe des Bestands des Sondervermögens sind jederzeit Zuweisungen an den Landeshaushalt für den in § 2 Absatz 2 genannten Zweck zulässig.</w:t>
      </w:r>
    </w:p>
    <w:p>
      <w:r>
        <w:rPr>
          <w:color w:val="555555"/>
          <w:sz w:val="17"/>
        </w:rPr>
        <w:t xml:space="preserve">Zitiervorschlag: § 6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