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AFoG (Nordrhein-Westfalen) — Zuweisung von Mitteln aus dem Landeshaushalt</w:t>
      </w:r>
    </w:p>
    <w:p>
      <w:r>
        <w:rPr>
          <w:color w:val="555555"/>
          <w:sz w:val="18"/>
        </w:rPr>
        <w:t xml:space="preserve">Abrechnungsfondsgesetz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Maßgabe des jeweiligen Haushaltsplans erfolgen aus dem Landeshaushalt Zuweisungen an das Sondervermögen.</w:t>
      </w:r>
    </w:p>
    <w:p>
      <w:r>
        <w:t xml:space="preserve">(2) Weitere Zuweisungen aus dem Landeshaushalt an das Sondervermögen sind zulässig bis zur Höhe der im jeweiligen Haushaltsjahr im Haushaltsvollzug nicht ausgeschöpften Ausgabeermächtigungen. Das Nähere regelt das Haushaltsgesetz.</w:t>
      </w:r>
    </w:p>
    <w:p>
      <w:r>
        <w:t xml:space="preserve">(3) Das Vermögen des Sondervermögens bildet sich aus den Zuweisungen gemäß den Absätzen 1 und 2 sowie den daraus erzielten Erträgen.</w:t>
      </w:r>
    </w:p>
    <w:p>
      <w:r>
        <w:rPr>
          <w:color w:val="555555"/>
          <w:sz w:val="17"/>
        </w:rPr>
        <w:t xml:space="preserve">Zitiervorschlag: § 4 AFoG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https://recht.nulegal.eu/gesetze/AFoG/4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