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AFoG (Nordrhein-Westfalen) — Rechtsform</w:t>
      </w:r>
    </w:p>
    <w:p>
      <w:r>
        <w:rPr>
          <w:color w:val="555555"/>
          <w:sz w:val="18"/>
        </w:rPr>
        <w:t xml:space="preserve">Abrechnungsfondsgesetz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Sondervermögen ist nicht rechtsfähig. Es kann unter seinem Namen im rechtsgeschäftlichen Verkehr handeln, klagen und verklagt werden. Das Sondervermögen wird durch das Finanzministerium des Landes Nordrhein-Westfalen vertreten. Der allgemeine Gerichtsstand des Sondervermögens ist Düsseldorf.</w:t>
      </w:r>
    </w:p>
    <w:p>
      <w:r>
        <w:t xml:space="preserve">(2) Eine Kreditaufnahme durch das Sondervermögen ist unzulässig.</w:t>
      </w:r>
    </w:p>
    <w:p>
      <w:r>
        <w:rPr>
          <w:color w:val="555555"/>
          <w:sz w:val="17"/>
        </w:rPr>
        <w:t xml:space="preserve">Zitiervorschlag: § 3 AFoG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https://recht.nulegal.eu/gesetze/AFoG/3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