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AFoG (Nordrhein-Westfalen) — Inkrafttreten</w:t>
      </w:r>
    </w:p>
    <w:p>
      <w:r>
        <w:rPr>
          <w:color w:val="555555"/>
          <w:sz w:val="18"/>
        </w:rPr>
        <w:t xml:space="preserve">Abrechnungsfondsgesetz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mit Wirkung vom 18. Oktober 2008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Innovation, Wissenschaft,</w:t>
      </w:r>
    </w:p>
    <w:p>
      <w:r>
        <w:t xml:space="preserve">Forschung und Technologie</w:t>
      </w:r>
    </w:p>
    <w:p>
      <w:r>
        <w:t xml:space="preserve">Der Finanzminister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t xml:space="preserve">Der Innenminister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Bauen und Verkehr</w:t>
      </w:r>
    </w:p>
    <w:p>
      <w:r>
        <w:t xml:space="preserve">Die Justizministerin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Der Minister</w:t>
      </w:r>
    </w:p>
    <w:p>
      <w:r>
        <w:t xml:space="preserve">für Generationen, Familie,</w:t>
      </w:r>
    </w:p>
    <w:p>
      <w:r>
        <w:t xml:space="preserve">Frauen und Integration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rPr>
          <w:color w:val="555555"/>
          <w:sz w:val="17"/>
        </w:rPr>
        <w:t xml:space="preserve">Zitiervorschlag: § 10 AFoG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https://recht.nulegal.eu/gesetze/AFoG/10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