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AFoG (Nordrhein-Westfalen) — Errichtung</w:t>
      </w:r>
    </w:p>
    <w:p>
      <w:r>
        <w:rPr>
          <w:color w:val="555555"/>
          <w:sz w:val="18"/>
        </w:rPr>
        <w:t xml:space="preserve">Abrechnungsfondsgesetz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Das Land Nordrhein-Westfalen errichtet unter dem Namen „Abrechnung Finanzmarktstabilisierungsfonds“ ein Sondervermögen.</w:t>
      </w:r>
    </w:p>
    <w:p>
      <w:r>
        <w:t xml:space="preserve">(2) Das Sondervermögen ist von dem übrigen Vermögen des Landes Nordrhein-Westfalen, seinen Rechten und Verbindlichkeiten getrennt zu halten.</w:t>
      </w:r>
    </w:p>
    <w:p>
      <w:r>
        <w:rPr>
          <w:color w:val="555555"/>
          <w:sz w:val="17"/>
        </w:rPr>
        <w:t xml:space="preserve">Zitiervorschlag: § 1 AFoG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https://recht.nulegal.eu/gesetze/AFoG/1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