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AFWoG — Geltung für Bergarbeiterwohnungen</w:t>
      </w:r>
    </w:p>
    <w:p>
      <w:r>
        <w:rPr>
          <w:color w:val="555555"/>
          <w:sz w:val="18"/>
        </w:rPr>
        <w:t xml:space="preserve">Gesetz über den Abbau der Fehlsubventionierung im Wohnungswesen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ist auf Inhaber von Wohnungen, die nach dem Gesetz zur Förderung des Bergarbeiterwohnungsbaus im Kohlenbergbau gefördert worden sind, entsprechend anzuwenden, wenn der Wohnungsinhaber nicht wohnungsberechtigt im Sinne des § 4 Abs. 1 Buchstabe a, b oder c des genannten Gesetzes ist.</w:t>
      </w:r>
    </w:p>
    <w:p>
      <w:r>
        <w:rPr>
          <w:color w:val="555555"/>
          <w:sz w:val="17"/>
        </w:rPr>
        <w:t xml:space="preserve">Zitiervorschlag: § 8 AFWoG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https://recht.nulegal.eu/gesetze/AFWoG/8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