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AFWoG — Einkommensnachweis, Auskünfte</w:t>
      </w:r>
    </w:p>
    <w:p>
      <w:r>
        <w:rPr>
          <w:color w:val="555555"/>
          <w:sz w:val="18"/>
        </w:rPr>
        <w:t xml:space="preserve">Gesetz über den Abbau der Fehlsubventionierung im Wohnungswesen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 Wohnungsinhaber hat auf Aufforderung die Personen zu benennen, die die Wohnung nicht nur vorübergehend nutzen, und deren Einkommen oder das Vorliegen der Voraussetzungen des § 2 Abs. 1 nachzuweisen, soweit diese Angaben bei der Ermittlung des Einkommens und der Einkommensgrenze zu berücksichtigen sind (§ 3 Abs. 1 Satz 2). Ihm ist hierzu eine angemessene Frist einzuräumen. Gegenüber dem Wohnungsinhaber, der die Aufforderung nach Satz 1 erhalten hat, ist jeder andere Wohnungsinhaber verpflichtet, die erforderlichen Auskünfte zu geben und die entsprechenden Unterlagen auszuhändigen.</w:t>
      </w:r>
    </w:p>
    <w:p>
      <w:r>
        <w:t xml:space="preserve">(2) Versäumt der Wohnungsinhaber die Frist nach Absatz 1, so wird vermutet, dass die Voraussetzungen nach § 2 Abs. 1 nicht vorliegen und die Einkommensgrenze um mehr als 50 vom Hundert überschritten wird. Wird die Verpflichtung nach Absatz 1 Satz 1 nachträglich erfüllt, so ist vom ersten Tag des drittnächsten Kalendermonats an nur der Betrag zu entrichten, der sich nach Überprüfung der Einkommensverhältnisse ergibt; in den Fällen des § 2 Abs. 1 Nr. 2 und 3 entfällt die Leistungspflicht ab Beginn des Leistungszeitraums.</w:t>
      </w:r>
    </w:p>
    <w:p>
      <w:r>
        <w:t xml:space="preserve">(3) Alle Behörden, insbesondere die Finanzbehörden, sowie die Arbeitgeber haben der zuständigen Stelle Auskunft über die Einkommensverhältnisse zu erteilen, soweit die Durchführung dieses Gesetzes es erfordert.</w:t>
      </w:r>
    </w:p>
    <w:p>
      <w:r>
        <w:rPr>
          <w:color w:val="555555"/>
          <w:sz w:val="17"/>
        </w:rPr>
        <w:t xml:space="preserve">Zitiervorschlag: § 5 AFWoG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https://recht.nulegal.eu/gesetze/AFWoG/5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