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AFWoG — Einkommen, Einkommensgrenze</w:t>
      </w:r>
    </w:p>
    <w:p>
      <w:r>
        <w:rPr>
          <w:color w:val="555555"/>
          <w:sz w:val="18"/>
        </w:rPr>
        <w:t xml:space="preserve">Gesetz über den Abbau der Fehlsubventionierung im Wohnungswesen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Einkommen und die Einkommensgrenze bestimmen sich nach den §§ 9 und 35 Abs. 1 Satz 1 des Wohnraumförderungsgesetzes; soweit auf Grund des § 9 Abs. 3 des Wohnraumförderungsgesetzes eine Abweichung festgelegt ist, bestimmt sich die Einkommensgrenze nach dieser Abweichung. Alle Personen, die die Wohnung nicht nur vorübergehend nutzen, sind zu berücksichtigen, soweit sich nicht aus § 1 Abs. 2 etwas anderes ergibt.</w:t>
      </w:r>
    </w:p>
    <w:p>
      <w:r>
        <w:t xml:space="preserve">(2) Maßgebend sind die Verhältnisse am 1. April des dem Leistungszeitraum (§ 4) vorausgehenden Jahres. Abweichend hiervon ist</w:t>
      </w:r>
    </w:p>
    <w:p>
      <w:pPr>
        <w:ind w:left="420"/>
      </w:pPr>
      <w:r>
        <w:t xml:space="preserve">1. in den Fällen des § 4 Abs. 3 der Zeitpunkt der Beantragung des Wohnberechtigungsscheins oder bei nicht zu vertretender nachträglicher Beantragung der Zeitpunkt des Bezugs der Wohnung,</w:t>
      </w:r>
    </w:p>
    <w:p>
      <w:pPr>
        <w:ind w:left="420"/>
      </w:pPr>
      <w:r>
        <w:t xml:space="preserve">2. in den Fällen des § 4 Abs. 4 Satz 3 der Zeitpunkt der Aufforderung nach § 5 Abs. 1 und</w:t>
      </w:r>
    </w:p>
    <w:p>
      <w:pPr>
        <w:ind w:left="420"/>
      </w:pPr>
      <w:r>
        <w:t xml:space="preserve">3. in den Fällen des § 7 Abs. 2 der Zeitpunkt der Antragstellung</w:t>
      </w:r>
    </w:p>
    <w:p>
      <w:r>
        <w:t xml:space="preserve">maßgebend.</w:t>
      </w:r>
    </w:p>
    <w:p>
      <w:r>
        <w:rPr>
          <w:color w:val="555555"/>
          <w:sz w:val="17"/>
        </w:rPr>
        <w:t xml:space="preserve">Zitiervorschlag: § 3 AFWoG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https://recht.nulegal.eu/gesetze/AFWoG/3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