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AFWoG — Überleitungsvorschriften zum Wohnraumförderungsgesetz</w:t>
      </w:r>
    </w:p>
    <w:p>
      <w:r>
        <w:rPr>
          <w:color w:val="555555"/>
          <w:sz w:val="18"/>
        </w:rPr>
        <w:t xml:space="preserve">Gesetz über den Abbau der Fehlsubventionierung im Wohnungswesen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landesrechtliche Vorschriften kann bestimmt werden, dass Wohnungsinhaber des in § 50 Abs. 1 Satz 1 Nr. 1 bis 3 und Satz 2 des Wohnraumförderungsgesetzes und in § 2 Abs. 2 des Wohnraumförderung-Überleitungsgesetzes vom 5. September 2006 (BGBl. I S. 2098, 2100) bezeichneten Wohnraums an Stelle einer Ausgleichszahlung nach diesem Gesetz und den dazu ergangenen landesrechtlichen Vorschriften eine Ausgleichszahlung nach Maßgabe der §§ 34 bis 37 und des § 45 Abs. 2 des Wohnraumförderungsgesetzes und der hierzu ergehenden landesrechtlichen Vorschriften zu leisten haben.</w:t>
      </w:r>
    </w:p>
    <w:p>
      <w:r>
        <w:t xml:space="preserve">(2) Mit dem Wirksamwerden der Verpflichtung zur Leistung einer Ausgleichszahlung nach Absatz 1 erlischt die Verpflichtung zur Leistung einer Ausgleichszahlung nach diesem Gesetz.</w:t>
      </w:r>
    </w:p>
    <w:p>
      <w:r>
        <w:t xml:space="preserve">(3) Bei dem in § 2 Abs. 2 Nr. 2 des Wohnraumförderung-Überleitungsgesetzes bezeichneten Wohnraum können die Ausgleichszahlungen auf Wohnungsinhaber beschränkt werden, die nicht wohnberechtigt im Sinne des § 4 Abs. 1 Buchstabe a, b oder c des Gesetzes zur Förderung des Bergarbeiterwohnungsbaus im Kohlenbergbau sind. Bei dem in § 50 Abs. 1 Satz 1 Nr. 3 des Wohnraumförderungsgesetzes und in § 2 Abs. 2 des Wohnraumförderung-Überleitungsgesetzes bezeichneten Wohnraum ist für die Zweckbestimmung der Ausgleichszahlungen an Stelle des § 34 Abs. 6 des Wohnraumförderungsgesetzes § 10 Abs. 2 bis 4 weiterhin anzuwenden.</w:t>
      </w:r>
    </w:p>
    <w:p>
      <w:r>
        <w:t xml:space="preserve">(4) Die Länder können durch landesrechtliche Vorschriften bestimmen, dass auch Wohnungsinhaber des in § 50 Abs. 1 Satz 1 Nr. 4 des Wohnraumförderungsgesetzes bezeichneten Wohnraums und der Wohnungen, die nach § 87b Satz 1 und § 88d des Zweiten Wohnungsbaugesetzes bis zum 31. Dezember 2001 gefördert worden sind, eine Ausgleichszahlung nach Maßgabe der §§ 34 bis 37 und des § 45 Abs. 2 des Wohnraumförderungsgesetzes und der hierzu ergehenden landesrechtlichen Vorschriften zu leisten haben.</w:t>
      </w:r>
    </w:p>
    <w:p>
      <w:r>
        <w:t xml:space="preserve">(5) § 51 des Wohnraumförderungsgesetzes bleibt unberührt.</w:t>
      </w:r>
    </w:p>
    <w:p>
      <w:r>
        <w:rPr>
          <w:color w:val="555555"/>
          <w:sz w:val="17"/>
        </w:rPr>
        <w:t xml:space="preserve">Zitiervorschlag: § 15 AFWoG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https://recht.nulegal.eu/gesetze/AFWoG/15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