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AFWoG — Ausgleichszahlung der Inhaber von Mietwohnungen</w:t>
      </w:r>
    </w:p>
    <w:p>
      <w:r>
        <w:rPr>
          <w:color w:val="555555"/>
          <w:sz w:val="18"/>
        </w:rPr>
        <w:t xml:space="preserve">Gesetz über den Abbau der Fehlsubventionierung im Wohnungswesen</w:t>
      </w:r>
    </w:p>
    <w:p>
      <w:r>
        <w:rPr>
          <w:color w:val="555555"/>
          <w:sz w:val="18"/>
        </w:rPr>
        <w:t xml:space="preserve">Stand: 10.06.2019 (konsolidierte Textfassung, kein amtliches Inkrafttretensdatum)</w:t>
      </w:r>
    </w:p>
    <w:p>
      <w:r>
        <w:t xml:space="preserve">(1) Inhaber einer öffentlich geförderten Wohnung im Sinne des Wohnungsbindungsgesetzes haben vorbehaltlich des § 2 eine Ausgleichszahlung zu leisten, wenn</w:t>
      </w:r>
    </w:p>
    <w:p>
      <w:pPr>
        <w:ind w:left="420"/>
      </w:pPr>
      <w:r>
        <w:t xml:space="preserve">1. ihre Wohnung in einer Gemeinde liegt, die durch landesrechtliche Vorschriften nach Absatz 4 bestimmt ist, und</w:t>
      </w:r>
    </w:p>
    <w:p>
      <w:pPr>
        <w:ind w:left="420"/>
      </w:pPr>
      <w:r>
        <w:t xml:space="preserve">2. ihr Einkommen die Einkommensgrenze (§ 3) um mehr als 20 vom Hundert übersteigt.</w:t>
      </w:r>
    </w:p>
    <w:p>
      <w:r>
        <w:t xml:space="preserve">Mehrere Inhaber derselben Wohnung sind Gesamtschuldner.</w:t>
      </w:r>
    </w:p>
    <w:p>
      <w:r>
        <w:t xml:space="preserve">(2) Ist mehr als die Hälfte der Wohnfläche einer Wohnung untervermietet, so gilt auch der untervermietete Teil als selbständige Wohnung. Ist die Hälfte oder weniger als die Hälfte der Wohnfläche einer Wohnung untervermietet, so bilden der untervermietete und der nicht untervermietete Teil zusammen eine Wohnung; die Benutzer des untervermieteten Teils gelten nicht als Wohnungsinhaber, es sei denn, es handelt sich um Haushaltsangehörige im Sinne des § 18 des Wohnraumförderungsgesetzes. Vermietet der Eigentümer oder sonstige Verfügungsberechtigte einen Teil der von ihm selbst genutzten Wohnung, so gelten die Sätze 1 und 2 entsprechend.</w:t>
      </w:r>
    </w:p>
    <w:p>
      <w:r>
        <w:t xml:space="preserve">(3) Die Ausgleichszahlung beträgt monatlich je Quadratmeter Wohnfläche</w:t>
      </w:r>
    </w:p>
    <w:p>
      <w:pPr>
        <w:ind w:left="420"/>
      </w:pPr>
      <w:r>
        <w:t xml:space="preserve">1. 0,25 Euro, wenn die Einkommensgrenze um mehr 20 vom Hundert, jedoch nicht mehr als 35 vom Hundert überschritten wird,</w:t>
      </w:r>
    </w:p>
    <w:p>
      <w:pPr>
        <w:ind w:left="420"/>
      </w:pPr>
      <w:r>
        <w:t xml:space="preserve">2. 0,60 Euro, wenn die Einkommensgrenze um mehr als 35 vom Hundert, jedoch nicht mehr als 50 vom Hundert überschritten wird,</w:t>
      </w:r>
    </w:p>
    <w:p>
      <w:pPr>
        <w:ind w:left="420"/>
      </w:pPr>
      <w:r>
        <w:t xml:space="preserve">3. 1 Euro, wenn die Einkommensgrenze um mehr als 50 vom Hundert überschritten wird.</w:t>
      </w:r>
    </w:p>
    <w:p>
      <w:r>
        <w:t xml:space="preserve">(4) Nach Absatz 1 Satz 1 Nr. 1 können nur solche Gemeinden bestimmt werden, in denen die Kostenmieten (§§ 8 bis 8b des Wohnungsbindungsgesetzes) öffentlich geförderter Mietwohnungen die ortsüblichen Mieten vergleichbarer, nicht preisgebundener Mietwohnungen erheblich unterschreiten. Liegt bei einer Gemeinde diese Voraussetzung vor, kann von der Bestimmung abgesehen werden, wenn der Verwaltungsaufwand für die Erhebung der Ausgleichszahlung in einem unangemessenen Verhältnis zu den erwarteten Einnahmen stehen würde.</w:t>
      </w:r>
    </w:p>
    <w:p>
      <w:r>
        <w:rPr>
          <w:color w:val="555555"/>
          <w:sz w:val="17"/>
        </w:rPr>
        <w:t xml:space="preserve">Zitiervorschlag: § 1 AFWoG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https://recht.nulegal.eu/gesetze/AFWoG/1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